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shd w:val="clear" w:color="auto" w:fill="auto"/>
        <w:rPr>
          <w:b w:val="1"/>
          <w:bCs w:val="1"/>
          <w:color w:val="ff0000"/>
          <w:sz w:val="28"/>
          <w:szCs w:val="28"/>
          <w:u w:val="single" w:color="ff0000"/>
        </w:rPr>
      </w:pPr>
    </w:p>
    <w:p>
      <w:pPr>
        <w:pStyle w:val="Brødtekst"/>
        <w:shd w:val="clear" w:color="auto" w:fill="auto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Nationale anbefalinger: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8"/>
          <w:szCs w:val="28"/>
          <w:u w:val="single" w:color="000000"/>
        </w:rPr>
      </w:pPr>
    </w:p>
    <w:p>
      <w:pPr>
        <w:pStyle w:val="Brødtekst"/>
        <w:shd w:val="clear" w:color="auto" w:fill="auto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Det mulitidiciplin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da-DK"/>
        </w:rPr>
        <w:t>æ</w:t>
      </w:r>
      <w:r>
        <w:rPr>
          <w:b w:val="1"/>
          <w:bCs w:val="1"/>
          <w:color w:val="000000"/>
          <w:sz w:val="28"/>
          <w:szCs w:val="28"/>
          <w:u w:val="single" w:color="000000"/>
          <w:rtl w:val="0"/>
          <w:lang w:val="en-US"/>
        </w:rPr>
        <w:t>re team: (MDT)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</w:rPr>
        <w:t>Det multidisciplin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re team (MDT) eller fodcenter er et formaliseret samarbejde mellem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>ortop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</w:rPr>
        <w:t>dkirurger, karkirurger, endokrinologer, s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rsygeplejersker og fodterapeuter. Lokale forhold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bestemmer, hvilken afdeling der visiterer og modtager henvisninger, samt i hvilket regi evt.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indl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0"/>
          <w:szCs w:val="20"/>
          <w:u w:color="000000"/>
          <w:rtl w:val="0"/>
        </w:rPr>
        <w:t>ggelse foreg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0"/>
          <w:szCs w:val="20"/>
          <w:u w:color="000000"/>
          <w:rtl w:val="0"/>
        </w:rPr>
        <w:t>r.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rødtekst"/>
        <w:shd w:val="clear" w:color="auto" w:fill="auto"/>
        <w:rPr>
          <w:b w:val="1"/>
          <w:bCs w:val="1"/>
          <w:color w:val="000000"/>
          <w:sz w:val="24"/>
          <w:szCs w:val="24"/>
          <w:u w:val="single" w:color="000000"/>
        </w:rPr>
      </w:pPr>
      <w:r>
        <w:rPr>
          <w:b w:val="1"/>
          <w:bCs w:val="1"/>
          <w:color w:val="000000"/>
          <w:sz w:val="24"/>
          <w:szCs w:val="24"/>
          <w:u w:val="single" w:color="000000"/>
          <w:rtl w:val="0"/>
        </w:rPr>
        <w:t>Nationale anbefalinger (2014)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</w:rPr>
        <w:t>Henvisning til MDT: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Arbejdsgruppen anbefaler, at der etableres enstrenget visitation til de multidisciplin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re teams.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Er der tale om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dybere 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</w:rPr>
        <w:t>r, mistanke om sv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r infektion eller betydende isk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</w:rPr>
        <w:t>mi,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 skal det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rmeste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rscenter kontaktes straks telefonisk. For hvert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rscenter skal der derfor sikres et set up, s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opkald til de multidisciplin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 teams kan besvares af relevant fagperson ogs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uden for normal dagtid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–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fx henvisning til vagthavende ortop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dkirurg og/eller karkirurg.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Arbejdsgruppen vurderer ikke, at det er en foruds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tning, at hele organisationen er ansat p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samme matrikel. Det kan foreg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som en satellitfunktion, men der skal v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re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indg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et samarbejdsaftaler, 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ledes at alle fods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</w:rPr>
        <w:t>rscentre kan sikre alle funktioner.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Arbejdsgruppen anbefaler dog, at de 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dvendige kompetencer er placeret i fysisk 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rhed af hinanden for at leve op til kravene om, at patienterne skal kunne ses af et multidisciplin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rt team 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rstkommende hverdag.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Kompetencer i MDT (nationalt):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Retningslinjen fastsl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r, at der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skal indg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en aut. fodterapeut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 i det multidisciplin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 team.</w:t>
      </w:r>
    </w:p>
    <w:p>
      <w:pPr>
        <w:pStyle w:val="Brødtekst"/>
        <w:shd w:val="clear" w:color="auto" w:fill="auto"/>
        <w:spacing w:after="0"/>
        <w:ind w:left="720" w:firstLine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(Arbejdsgruppen understreger, at dette er helt centralt. Der er pt. stor forskel p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</w:p>
    <w:p>
      <w:pPr>
        <w:pStyle w:val="Brødtekst"/>
        <w:shd w:val="clear" w:color="auto" w:fill="auto"/>
        <w:spacing w:after="0"/>
        <w:ind w:left="720" w:firstLine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adgangen til fodterapi i regionen.)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Teamets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rsygeplejerske skal fremadrettet have efteruddannelse i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rpleje p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</w:p>
    <w:p>
      <w:pPr>
        <w:pStyle w:val="Brødtekst"/>
        <w:shd w:val="clear" w:color="auto" w:fill="auto"/>
        <w:spacing w:after="0"/>
        <w:ind w:left="720" w:firstLine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minimum diplomniveau.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Der skal v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 adgang til endokrinologisk vurdering p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specialistniveau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Retningslinjen definerer ikke, hvilket kirurgisk speciale der skal indg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i teamet.</w:t>
      </w:r>
    </w:p>
    <w:p>
      <w:pPr>
        <w:pStyle w:val="Brødtekst"/>
        <w:shd w:val="clear" w:color="auto" w:fill="auto"/>
        <w:spacing w:after="0"/>
        <w:ind w:left="720" w:firstLine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Dog gerne b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de karkirurger og ortop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dkirurger.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Adgang til ydelser og specialistvurderinger: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Billeddiagnostik: Det er centralt, at alle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rcentre har adgang til CT-scanner og MR-scanner udover konventionelle 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ntgenunders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gelser.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ff0000"/>
          <w:sz w:val="22"/>
          <w:szCs w:val="22"/>
          <w:u w:val="single" w:color="ff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ff0000"/>
          <w:sz w:val="22"/>
          <w:szCs w:val="22"/>
          <w:u w:val="single" w:color="ff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ff0000"/>
          <w:sz w:val="22"/>
          <w:szCs w:val="22"/>
          <w:u w:val="single" w:color="ff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Komplicerede 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</w:rPr>
        <w:t>r defineres som (nationalt):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Mistanke om infektion eller inflammation (Wagner 1A eller 3)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Tidligere diabetiske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Synlige sener eller knogler, eller der kan opn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s kontakt til disse ved sondering med probe (Wagner 2)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Mistanke om angiopati/isk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mi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dem af v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vet omkring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ret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Mistanke om foddeformiteter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Et diabetisk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r, der klassificeres som Wagner grad 2 eller derover, dvs. dybt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eller med nekrose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Mistanke om gangr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n (Wagner grad 4 eller 5)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Mistanke om neuropati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Tilstedev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relse af risikofaktorer (nedsat syn, diabetisk nyresygdom, adipositas,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dem af underekstremiteter, skader p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rt af tobaksforbrug, psykosociale forhold)</w:t>
      </w:r>
    </w:p>
    <w:p>
      <w:pPr>
        <w:pStyle w:val="List Paragraph"/>
        <w:numPr>
          <w:ilvl w:val="0"/>
          <w:numId w:val="4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Manglende heling af et ellers ukompliceret diabetisk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p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trods af 2-3 ugers</w:t>
      </w:r>
    </w:p>
    <w:p>
      <w:pPr>
        <w:pStyle w:val="Brødtekst"/>
        <w:shd w:val="clear" w:color="auto" w:fill="auto"/>
        <w:spacing w:after="0"/>
        <w:ind w:left="720" w:firstLine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relevant behandling.</w:t>
      </w:r>
    </w:p>
    <w:p>
      <w:pPr>
        <w:pStyle w:val="List Paragraph"/>
        <w:numPr>
          <w:ilvl w:val="0"/>
          <w:numId w:val="6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Compliance-problemer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6"/>
        </w:numPr>
        <w:shd w:val="clear" w:color="auto" w:fill="auto"/>
        <w:bidi w:val="0"/>
        <w:spacing w:after="0"/>
        <w:ind w:right="372"/>
        <w:jc w:val="both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Den nationale kliniske retningslinje anbefaler, at personer med et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kompliceret fods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 tilses af et multidisciplin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rt team (MDT) med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rlig erfaring i diagnostik og behandling af diabetiske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r. </w:t>
      </w:r>
    </w:p>
    <w:p>
      <w:pPr>
        <w:pStyle w:val="Brødtekst"/>
        <w:shd w:val="clear" w:color="auto" w:fill="auto"/>
        <w:spacing w:after="0"/>
        <w:jc w:val="both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6"/>
        </w:numPr>
        <w:shd w:val="clear" w:color="auto" w:fill="auto"/>
        <w:bidi w:val="0"/>
        <w:spacing w:after="0"/>
        <w:ind w:right="372"/>
        <w:jc w:val="both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Retningslinjen anbefaler, at personer med et kompliceret og/eller inficeret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r,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 xml:space="preserve">efter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opstart af antibiotisk behandling, henvises til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udredning og behandling i MDT f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rstkommende hverdag.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 Alle patienter med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diabetiske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fods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 i Region Syddanmark vil kunne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ses af en specialist samme dag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, men ikke 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dvendigvis af det samlede multidisciplin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 team inden for denne tidsfrist.</w:t>
      </w:r>
    </w:p>
    <w:p>
      <w:pPr>
        <w:pStyle w:val="Brødtekst"/>
        <w:shd w:val="clear" w:color="auto" w:fill="auto"/>
        <w:spacing w:after="0"/>
        <w:jc w:val="both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6"/>
        </w:numPr>
        <w:shd w:val="clear" w:color="auto" w:fill="auto"/>
        <w:bidi w:val="0"/>
        <w:spacing w:after="0"/>
        <w:ind w:right="372"/>
        <w:jc w:val="both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Almen praksis benytter i dag ikke Wagner-klassifikationen, men 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lger egen</w:t>
      </w:r>
    </w:p>
    <w:p>
      <w:pPr>
        <w:pStyle w:val="Brødtekst"/>
        <w:shd w:val="clear" w:color="auto" w:fill="auto"/>
        <w:spacing w:after="0"/>
        <w:ind w:left="720" w:firstLine="0"/>
        <w:jc w:val="both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instruks vedr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rende diabetiske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r. Kriterierne i retningslinjerne medf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rer, at flere end hidtil skal henvises fra praksis til udredning i MDT. Kun patienter, hvis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r forventeligt heler inden for 2 uger, kan behandles i praksis.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e-DE"/>
        </w:rPr>
        <w:t>Er 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ret ikke helet som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forventet efter 2 uger, skal patienten viderehenvises til MDT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. Ved absces eller oplagt dybere infektion henvises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e-DE"/>
        </w:rPr>
        <w:t>patienten akut.</w:t>
      </w:r>
    </w:p>
    <w:p>
      <w:pPr>
        <w:pStyle w:val="Brødtekst"/>
        <w:shd w:val="clear" w:color="auto" w:fill="auto"/>
        <w:spacing w:after="0"/>
        <w:ind w:left="720" w:firstLine="0"/>
        <w:jc w:val="both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8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Alle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rcentre st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til 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dighed for sundhedspersonale ved behov for sparring og gode 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 vedr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rende h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ndtering af den diabetiske fod. MDT b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r fremover have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é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t kontaktnummer, som g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res tilg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ngeligt for praktiserende l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ger samt sygeplejersker og fodterapeuter i prim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rsektor.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8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Alle diabetespatienter med og uden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b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r tilbydes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 xml:space="preserve">undervisning i patientskoler for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diabetikere. Undervisningens indhold (diabetesf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dder, senkomplikationer, daglig pleje, fodt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j, hj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lpemidler, forebyggelse, behandling af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mm.) b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m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lrettes specifikt til m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lgruppen, hhv.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diabetespatienter uden fods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r og diabetespatienter med fods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r.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 Det anbefales endvidere, at underviseren er fodterapeut med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rlig erfaring i forebyggelse og behandling af diabetiske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8"/>
        </w:numPr>
        <w:shd w:val="clear" w:color="auto" w:fill="auto"/>
        <w:bidi w:val="0"/>
        <w:spacing w:after="0"/>
        <w:ind w:right="372"/>
        <w:jc w:val="left"/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Af den nationale kliniske retningslinje fremg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det, at hvor det er</w:t>
      </w:r>
    </w:p>
    <w:p>
      <w:pPr>
        <w:pStyle w:val="Brødtekst"/>
        <w:shd w:val="clear" w:color="auto" w:fill="auto"/>
        <w:spacing w:after="0"/>
        <w:ind w:left="720" w:firstLine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relevant, skal der laves en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genoptr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</w:rPr>
        <w:t>ningsplan.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 For personer med betydende</w:t>
      </w:r>
    </w:p>
    <w:p>
      <w:pPr>
        <w:pStyle w:val="Brødtekst"/>
        <w:shd w:val="clear" w:color="auto" w:fill="auto"/>
        <w:spacing w:after="0"/>
        <w:ind w:left="720" w:firstLine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neuropati skal genoptr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ningsplanen udarbejdes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ledes, at der tages hensyn til, at tr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ningen ikke m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re friktions- og trykbelastende</w:t>
      </w:r>
    </w:p>
    <w:p>
      <w:pPr>
        <w:pStyle w:val="Brødtekst"/>
        <w:shd w:val="clear" w:color="auto" w:fill="auto"/>
        <w:spacing w:after="0"/>
        <w:ind w:left="720" w:firstLine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rødtekst"/>
        <w:shd w:val="clear" w:color="auto" w:fill="auto"/>
        <w:spacing w:after="0"/>
        <w:ind w:left="720" w:firstLine="0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Arbejdsgruppen vurderer, at det kan v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re relevant at 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inddrage fysioterapeuter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Brødtekst"/>
        <w:shd w:val="clear" w:color="auto" w:fill="auto"/>
        <w:spacing w:after="0"/>
        <w:ind w:left="720" w:firstLine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fx ved neuropati, immobilisering, aircasts, Charcot 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dder og nedsat mobilitet.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e-DE"/>
        </w:rPr>
        <w:t>Wagners 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e-DE"/>
        </w:rPr>
        <w:t>rklassifikation: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Klassifikation/Klinisk fund: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Wagner grad 0:  H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rd hud med risiko for udvikling af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r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Wagner grad 1:  Overfladisk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</w:rPr>
        <w:t>r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Wagner grad 1A:Overfladisk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med infektion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Wagner grad 2:  Dybt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(til led, knogle eller sene) uden infektion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Wagner grad 3: Dybt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med infektion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</w:rPr>
        <w:t>Wagner grad 4: Nekrose, lokalt</w:t>
      </w:r>
    </w:p>
    <w:p>
      <w:pPr>
        <w:pStyle w:val="Brødtekst"/>
        <w:shd w:val="clear" w:color="auto" w:fill="auto"/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Wagner grad 5: Nekrose, hele foden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No Spacing"/>
        <w:shd w:val="clear" w:color="auto" w:fill="auto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Ukomplicerede 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r:</w:t>
      </w:r>
    </w:p>
    <w:p>
      <w:pPr>
        <w:pStyle w:val="No Spacing"/>
        <w:shd w:val="clear" w:color="auto" w:fill="auto"/>
        <w:rPr>
          <w:b w:val="1"/>
          <w:bCs w:val="1"/>
          <w:color w:val="000000"/>
          <w:sz w:val="22"/>
          <w:szCs w:val="22"/>
          <w:u w:val="single" w:color="000000"/>
        </w:rPr>
      </w:pPr>
    </w:p>
    <w:p>
      <w:pPr>
        <w:pStyle w:val="No Spacing"/>
        <w:shd w:val="clear" w:color="auto" w:fill="auto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Overfladiske 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uden neuropatisk eller isk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misk baggrund kan fors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ges behandlet i prim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rsektoren, medmindre der er tale om recidivs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r. Er der ikke heling eller tegn p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samme inden for 14 dage, skal patienten henvises til det 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rmeste multidisciplin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re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rsteam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 xml:space="preserve">–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diabetiske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rscenter.</w:t>
      </w:r>
    </w:p>
    <w:p>
      <w:pPr>
        <w:pStyle w:val="No Spacing"/>
        <w:shd w:val="clear" w:color="auto" w:fill="auto"/>
        <w:rPr>
          <w:b w:val="1"/>
          <w:bCs w:val="1"/>
          <w:color w:val="000000"/>
          <w:u w:val="single" w:color="000000"/>
        </w:rPr>
      </w:pPr>
    </w:p>
    <w:p>
      <w:pPr>
        <w:pStyle w:val="No Spacing"/>
        <w:shd w:val="clear" w:color="auto" w:fill="auto"/>
        <w:rPr>
          <w:b w:val="1"/>
          <w:bCs w:val="1"/>
          <w:color w:val="000000"/>
          <w:u w:val="single" w:color="000000"/>
        </w:rPr>
      </w:pPr>
    </w:p>
    <w:p>
      <w:pPr>
        <w:pStyle w:val="No Spacing"/>
        <w:shd w:val="clear" w:color="auto" w:fill="auto"/>
        <w:rPr>
          <w:b w:val="1"/>
          <w:bCs w:val="1"/>
          <w:color w:val="000000"/>
          <w:sz w:val="22"/>
          <w:szCs w:val="22"/>
          <w:u w:val="single"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Visitationsretningslinje for diabetisk fods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da-DK"/>
        </w:rPr>
        <w:t>r.</w:t>
      </w:r>
    </w:p>
    <w:p>
      <w:pPr>
        <w:pStyle w:val="No Spacing"/>
        <w:shd w:val="clear" w:color="auto" w:fill="auto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Nykonstateret fods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r stratificeres ud fra 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da-DK"/>
        </w:rPr>
        <w:t>lgende/Vurderes anamnestisk:</w:t>
      </w:r>
    </w:p>
    <w:p>
      <w:pPr>
        <w:pStyle w:val="No Spacing"/>
        <w:numPr>
          <w:ilvl w:val="0"/>
          <w:numId w:val="10"/>
        </w:numPr>
        <w:shd w:val="clear" w:color="auto" w:fill="auto"/>
        <w:bidi w:val="0"/>
        <w:ind w:right="372"/>
        <w:jc w:val="left"/>
        <w:rPr>
          <w:b w:val="1"/>
          <w:bCs w:val="1"/>
          <w:color w:val="000000"/>
          <w:u w:color="000000"/>
          <w:rtl w:val="0"/>
          <w:lang w:val="da-DK"/>
        </w:rPr>
      </w:pPr>
      <w:r>
        <w:rPr>
          <w:b w:val="1"/>
          <w:bCs w:val="1"/>
          <w:color w:val="000000"/>
          <w:u w:color="000000"/>
          <w:rtl w:val="0"/>
          <w:lang w:val="da-DK"/>
        </w:rPr>
        <w:t>Claudicatio og symptomer p</w:t>
      </w:r>
      <w:r>
        <w:rPr>
          <w:b w:val="1"/>
          <w:bCs w:val="1"/>
          <w:color w:val="000000"/>
          <w:u w:color="000000"/>
          <w:rtl w:val="0"/>
          <w:lang w:val="da-DK"/>
        </w:rPr>
        <w:t xml:space="preserve">å </w:t>
      </w:r>
      <w:r>
        <w:rPr>
          <w:b w:val="1"/>
          <w:bCs w:val="1"/>
          <w:color w:val="000000"/>
          <w:u w:color="000000"/>
          <w:rtl w:val="0"/>
          <w:lang w:val="da-DK"/>
        </w:rPr>
        <w:t>polyneuropati, tidligere amputationer og fejlstillinger samt</w:t>
      </w:r>
    </w:p>
    <w:p>
      <w:pPr>
        <w:pStyle w:val="No Spacing"/>
        <w:shd w:val="clear" w:color="auto" w:fill="auto"/>
        <w:ind w:left="720" w:firstLine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a-DK"/>
        </w:rPr>
        <w:t>diabetesstatus: diabetesvarighed, komplikationer, glyk</w:t>
      </w:r>
      <w:r>
        <w:rPr>
          <w:b w:val="1"/>
          <w:bCs w:val="1"/>
          <w:color w:val="000000"/>
          <w:u w:color="000000"/>
          <w:rtl w:val="0"/>
          <w:lang w:val="da-DK"/>
        </w:rPr>
        <w:t>æ</w:t>
      </w:r>
      <w:r>
        <w:rPr>
          <w:b w:val="1"/>
          <w:bCs w:val="1"/>
          <w:color w:val="000000"/>
          <w:u w:color="000000"/>
          <w:rtl w:val="0"/>
          <w:lang w:val="da-DK"/>
        </w:rPr>
        <w:t>misk kontrol og objektivt: almen tilstand, s</w:t>
      </w:r>
      <w:r>
        <w:rPr>
          <w:b w:val="1"/>
          <w:bCs w:val="1"/>
          <w:color w:val="00000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u w:color="000000"/>
          <w:rtl w:val="0"/>
          <w:lang w:val="da-DK"/>
        </w:rPr>
        <w:t xml:space="preserve">rdybde, infektionstegn og blodforsyning, fejlstillinger, </w:t>
      </w:r>
      <w:r>
        <w:rPr>
          <w:b w:val="1"/>
          <w:bCs w:val="1"/>
          <w:color w:val="000000"/>
          <w:u w:color="000000"/>
          <w:rtl w:val="0"/>
          <w:lang w:val="da-DK"/>
        </w:rPr>
        <w:t>ø</w:t>
      </w:r>
      <w:r>
        <w:rPr>
          <w:b w:val="1"/>
          <w:bCs w:val="1"/>
          <w:color w:val="000000"/>
          <w:u w:color="000000"/>
          <w:rtl w:val="0"/>
          <w:lang w:val="da-DK"/>
        </w:rPr>
        <w:t>dem, neuropati (monofilament, biothesiometri) samt funktionsniveau og egenomsorgsevne.</w:t>
      </w:r>
    </w:p>
    <w:p>
      <w:pPr>
        <w:pStyle w:val="No Spacing"/>
        <w:shd w:val="clear" w:color="auto" w:fill="auto"/>
        <w:ind w:left="720" w:firstLine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a-DK"/>
        </w:rPr>
        <w:t xml:space="preserve"> Det anbefales, at s</w:t>
      </w:r>
      <w:r>
        <w:rPr>
          <w:b w:val="1"/>
          <w:bCs w:val="1"/>
          <w:color w:val="000000"/>
          <w:u w:color="000000"/>
          <w:rtl w:val="0"/>
          <w:lang w:val="da-DK"/>
        </w:rPr>
        <w:t>å</w:t>
      </w:r>
      <w:r>
        <w:rPr>
          <w:b w:val="1"/>
          <w:bCs w:val="1"/>
          <w:color w:val="000000"/>
          <w:u w:color="000000"/>
          <w:rtl w:val="0"/>
          <w:lang w:val="da-DK"/>
        </w:rPr>
        <w:t>ret vurderes efter f.eks Wagner klassifikationen.</w:t>
      </w:r>
    </w:p>
    <w:p>
      <w:pPr>
        <w:pStyle w:val="No Spacing"/>
        <w:shd w:val="clear" w:color="auto" w:fill="auto"/>
        <w:rPr>
          <w:color w:val="000000"/>
          <w:u w:color="000000"/>
        </w:rPr>
      </w:pPr>
    </w:p>
    <w:p>
      <w:pPr>
        <w:pStyle w:val="No Spacing"/>
        <w:shd w:val="clear" w:color="auto" w:fill="auto"/>
        <w:rPr>
          <w:color w:val="000000"/>
          <w:u w:color="000000"/>
        </w:rPr>
      </w:pPr>
    </w:p>
    <w:p>
      <w:pPr>
        <w:pStyle w:val="Brødtekst"/>
        <w:shd w:val="clear" w:color="auto" w:fill="auto"/>
        <w:rPr>
          <w:color w:val="000000"/>
          <w:sz w:val="22"/>
          <w:szCs w:val="22"/>
          <w:u w:color="000000"/>
        </w:rPr>
      </w:pPr>
    </w:p>
    <w:p>
      <w:pPr>
        <w:pStyle w:val="Brødtekst"/>
        <w:shd w:val="clear" w:color="auto" w:fill="auto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val="single" w:color="000000"/>
          <w:rtl w:val="0"/>
          <w:lang w:val="fr-FR"/>
        </w:rPr>
        <w:t>Dokumentation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 findes i: EPJ (Almen Praksis), EOJ (Sgh), sygeplejens dokumentations system, klinikbookingssystem, Pleje.net., </w:t>
      </w:r>
    </w:p>
    <w:p>
      <w:pPr>
        <w:pStyle w:val="Brødtekst"/>
        <w:shd w:val="clear" w:color="auto" w:fill="auto"/>
        <w:rPr>
          <w:b w:val="1"/>
          <w:bCs w:val="1"/>
          <w:color w:val="000000"/>
          <w:sz w:val="28"/>
          <w:szCs w:val="28"/>
          <w:u w:val="single" w:color="000000"/>
        </w:rPr>
      </w:pPr>
      <w:r>
        <w:rPr>
          <w:b w:val="1"/>
          <w:bCs w:val="1"/>
          <w:color w:val="000000"/>
          <w:sz w:val="28"/>
          <w:szCs w:val="28"/>
          <w:u w:val="single" w:color="000000"/>
          <w:rtl w:val="0"/>
        </w:rPr>
        <w:t>og Anno 2016  skal der stadig dobbeltregistreres</w:t>
      </w:r>
    </w:p>
    <w:p>
      <w:pPr>
        <w:pStyle w:val="Brødtekst"/>
        <w:shd w:val="clear" w:color="auto" w:fill="auto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</w:rPr>
        <w:t>(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 i Pleje.net og i eget dokumentations-system)</w:t>
      </w:r>
    </w:p>
    <w:sectPr>
      <w:headerReference w:type="default" r:id="rId4"/>
      <w:footerReference w:type="default" r:id="rId5"/>
      <w:pgSz w:w="11900" w:h="16840" w:orient="portrait"/>
      <w:pgMar w:top="85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da-DK"/>
      </w:rPr>
      <w:t xml:space="preserve">  Multidiciplin</w:t>
    </w:r>
    <w:r>
      <w:rPr>
        <w:rtl w:val="0"/>
        <w:lang w:val="da-DK"/>
      </w:rPr>
      <w:t>æ</w:t>
    </w:r>
    <w:r>
      <w:rPr>
        <w:rtl w:val="0"/>
        <w:lang w:val="da-DK"/>
      </w:rPr>
      <w:t>re team, nationale anbefalinger.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 Komplicerede og ukomplicerede s</w:t>
    </w:r>
    <w:r>
      <w:rPr>
        <w:rtl w:val="0"/>
        <w:lang w:val="da-DK"/>
      </w:rPr>
      <w:t>å</w:t>
    </w:r>
    <w:r>
      <w:rPr>
        <w:rtl w:val="0"/>
        <w:lang w:val="da-DK"/>
      </w:rPr>
      <w:t>r (national def.)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 Wagner skala (national def.)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 Visitationsretningslinje for diabetiske fods</w:t>
    </w:r>
    <w:r>
      <w:rPr>
        <w:rtl w:val="0"/>
        <w:lang w:val="da-DK"/>
      </w:rPr>
      <w:t>å</w:t>
    </w:r>
    <w:r>
      <w:rPr>
        <w:rtl w:val="0"/>
        <w:lang w:val="da-DK"/>
      </w:rPr>
      <w:t>r,(national)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 Dokumentation nationalt.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et format 3"/>
  </w:abstractNum>
  <w:abstractNum w:abstractNumId="5">
    <w:multiLevelType w:val="hybridMultilevel"/>
    <w:styleLink w:val="Importeret format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et format 4"/>
  </w:abstractNum>
  <w:abstractNum w:abstractNumId="7">
    <w:multiLevelType w:val="hybridMultilevel"/>
    <w:styleLink w:val="Importeret format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et format 5"/>
  </w:abstractNum>
  <w:abstractNum w:abstractNumId="9">
    <w:multiLevelType w:val="hybridMultilevel"/>
    <w:styleLink w:val="Importeret format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1a8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120" w:line="240" w:lineRule="auto"/>
      <w:ind w:left="0" w:right="372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120" w:line="240" w:lineRule="auto"/>
      <w:ind w:left="72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  <w:style w:type="numbering" w:styleId="Importeret format 3">
    <w:name w:val="Importeret format 3"/>
    <w:pPr>
      <w:numPr>
        <w:numId w:val="5"/>
      </w:numPr>
    </w:pPr>
  </w:style>
  <w:style w:type="numbering" w:styleId="Importeret format 4">
    <w:name w:val="Importeret format 4"/>
    <w:pPr>
      <w:numPr>
        <w:numId w:val="7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numbering" w:styleId="Importeret format 5">
    <w:name w:val="Importeret format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